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660BF" w14:textId="08255294" w:rsidR="20DD2084" w:rsidRDefault="005F1574" w:rsidP="4A2FE55F">
      <w:pPr>
        <w:spacing w:after="0"/>
        <w:jc w:val="center"/>
      </w:pPr>
      <w:bookmarkStart w:id="0" w:name="_GoBack"/>
      <w:r>
        <w:rPr>
          <w:noProof/>
          <w:lang w:eastAsia="fr-FR"/>
        </w:rPr>
        <w:drawing>
          <wp:inline distT="0" distB="0" distL="0" distR="0" wp14:anchorId="006CA784" wp14:editId="31EBCE6E">
            <wp:extent cx="1900362" cy="71205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Quick EVAL Antibi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079" cy="72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2323FF2F" wp14:editId="00925075">
            <wp:extent cx="1661823" cy="56063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REPIA_SPARES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183" cy="57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DA27B" w14:textId="77777777" w:rsidR="005F1574" w:rsidRDefault="005F1574" w:rsidP="4A2FE55F">
      <w:pPr>
        <w:spacing w:after="0"/>
        <w:jc w:val="center"/>
      </w:pPr>
    </w:p>
    <w:tbl>
      <w:tblPr>
        <w:tblStyle w:val="Grilledutableau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single" w:sz="12" w:space="0" w:color="1F9BCC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="4A2FE55F" w14:paraId="13AE1DD4" w14:textId="77777777" w:rsidTr="4A2FE55F">
        <w:trPr>
          <w:trHeight w:val="300"/>
        </w:trPr>
        <w:tc>
          <w:tcPr>
            <w:tcW w:w="9015" w:type="dxa"/>
          </w:tcPr>
          <w:p w14:paraId="284EFAFE" w14:textId="4E80D7A8" w:rsidR="4B093205" w:rsidRDefault="4B093205" w:rsidP="4A2FE55F">
            <w:pPr>
              <w:jc w:val="center"/>
              <w:rPr>
                <w:b/>
                <w:bCs/>
                <w:color w:val="1F9BCC"/>
                <w:sz w:val="22"/>
                <w:szCs w:val="22"/>
              </w:rPr>
            </w:pPr>
            <w:r w:rsidRPr="4A2FE55F">
              <w:rPr>
                <w:b/>
                <w:bCs/>
                <w:color w:val="1F9BCC"/>
                <w:sz w:val="22"/>
                <w:szCs w:val="22"/>
              </w:rPr>
              <w:t>Lettre d’information à destination des prescripteurs</w:t>
            </w:r>
          </w:p>
          <w:p w14:paraId="24C95DAD" w14:textId="08C78BB8" w:rsidR="4B093205" w:rsidRDefault="4B093205" w:rsidP="4A2FE55F">
            <w:pPr>
              <w:jc w:val="center"/>
              <w:rPr>
                <w:b/>
                <w:bCs/>
                <w:color w:val="1F9BCC"/>
                <w:sz w:val="22"/>
                <w:szCs w:val="22"/>
              </w:rPr>
            </w:pPr>
            <w:r w:rsidRPr="4A2FE55F">
              <w:rPr>
                <w:b/>
                <w:bCs/>
                <w:color w:val="1F9BCC"/>
                <w:sz w:val="22"/>
                <w:szCs w:val="22"/>
              </w:rPr>
              <w:t>Quick ÉVAL Antibio</w:t>
            </w:r>
          </w:p>
        </w:tc>
      </w:tr>
      <w:tr w:rsidR="4A2FE55F" w14:paraId="6F190FE6" w14:textId="77777777" w:rsidTr="4A2FE55F">
        <w:trPr>
          <w:trHeight w:val="300"/>
        </w:trPr>
        <w:tc>
          <w:tcPr>
            <w:tcW w:w="9015" w:type="dxa"/>
          </w:tcPr>
          <w:p w14:paraId="3988AF62" w14:textId="32774EE3" w:rsidR="4B093205" w:rsidRDefault="4B093205" w:rsidP="4A2FE55F">
            <w:pPr>
              <w:jc w:val="center"/>
              <w:rPr>
                <w:i/>
                <w:iCs/>
                <w:color w:val="002060"/>
                <w:sz w:val="22"/>
                <w:szCs w:val="22"/>
              </w:rPr>
            </w:pPr>
            <w:r w:rsidRPr="4A2FE55F">
              <w:rPr>
                <w:i/>
                <w:iCs/>
                <w:color w:val="002060"/>
                <w:sz w:val="22"/>
                <w:szCs w:val="22"/>
              </w:rPr>
              <w:t>Modèle-type de lettre ou d’e-mail à envoyer aux prescripteurs de votre établissement avant l’évaluation par Quick ÉVAL Antibio</w:t>
            </w:r>
          </w:p>
        </w:tc>
      </w:tr>
    </w:tbl>
    <w:bookmarkEnd w:id="0"/>
    <w:p w14:paraId="7944439A" w14:textId="400A2712" w:rsidR="20DD2084" w:rsidRDefault="2E8F68B8" w:rsidP="4A2FE55F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4A2FE55F">
        <w:rPr>
          <w:rFonts w:ascii="Calibri" w:eastAsia="Calibri" w:hAnsi="Calibri" w:cs="Calibri"/>
          <w:sz w:val="20"/>
          <w:szCs w:val="20"/>
        </w:rPr>
        <w:t>Chers collègues,</w:t>
      </w:r>
    </w:p>
    <w:p w14:paraId="765EA2E1" w14:textId="68B36E5C" w:rsidR="20DD2084" w:rsidRDefault="619D7854" w:rsidP="43C8CB05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43C8CB05">
        <w:rPr>
          <w:rFonts w:ascii="Calibri" w:eastAsia="Calibri" w:hAnsi="Calibri" w:cs="Calibri"/>
          <w:sz w:val="20"/>
          <w:szCs w:val="20"/>
        </w:rPr>
        <w:t xml:space="preserve"> </w:t>
      </w:r>
    </w:p>
    <w:p w14:paraId="5172799E" w14:textId="31DAD1C0" w:rsidR="20DD2084" w:rsidRDefault="4B4C6639" w:rsidP="4A2FE55F">
      <w:pPr>
        <w:spacing w:line="257" w:lineRule="auto"/>
        <w:jc w:val="both"/>
      </w:pPr>
      <w:r w:rsidRPr="4A2FE55F">
        <w:rPr>
          <w:rFonts w:ascii="Calibri" w:eastAsia="Calibri" w:hAnsi="Calibri" w:cs="Calibri"/>
          <w:sz w:val="20"/>
          <w:szCs w:val="20"/>
        </w:rPr>
        <w:t>Comme vous le savez</w:t>
      </w:r>
      <w:r w:rsidR="491C4B47" w:rsidRPr="4A2FE55F">
        <w:rPr>
          <w:rFonts w:ascii="Calibri" w:eastAsia="Calibri" w:hAnsi="Calibri" w:cs="Calibri"/>
          <w:sz w:val="20"/>
          <w:szCs w:val="20"/>
        </w:rPr>
        <w:t xml:space="preserve">, il est de bonne pratique de documenter et justifier les détails de </w:t>
      </w:r>
      <w:r w:rsidR="0D5D0DC6" w:rsidRPr="4A2FE55F">
        <w:rPr>
          <w:rFonts w:ascii="Calibri" w:eastAsia="Calibri" w:hAnsi="Calibri" w:cs="Calibri"/>
          <w:sz w:val="20"/>
          <w:szCs w:val="20"/>
        </w:rPr>
        <w:t xml:space="preserve">toute </w:t>
      </w:r>
      <w:r w:rsidR="491C4B47" w:rsidRPr="4A2FE55F">
        <w:rPr>
          <w:rFonts w:ascii="Calibri" w:eastAsia="Calibri" w:hAnsi="Calibri" w:cs="Calibri"/>
          <w:sz w:val="20"/>
          <w:szCs w:val="20"/>
        </w:rPr>
        <w:t>antibiothérapie à chaque étape (initiation, réévaluation et si durée de plus de 7 jours) et lors de toute modification, et de les tracer dans le dossier médical du patient (diagnostic, molécule antibiotique, dose unitaire et rythme d’administration, voie d’administration, durée ; incluant une brève justification de ces choix). Il est également recommandé de réévaluer régulièrement (idéalement quotidiennement) le diagnostic (jusqu’à être certain du diagnostic) et l’antibiothérapie (efficacité, tolérance). Les réévaluations à 24-72 heures (J2-J4) et à J7 sont particulièrement cruciales.</w:t>
      </w:r>
    </w:p>
    <w:p w14:paraId="0D4A5997" w14:textId="3F6CBB54" w:rsidR="20DD2084" w:rsidRDefault="491C4B47" w:rsidP="4A2FE55F">
      <w:pPr>
        <w:spacing w:line="257" w:lineRule="auto"/>
        <w:jc w:val="both"/>
        <w:rPr>
          <w:rFonts w:ascii="Calibri" w:eastAsia="Calibri" w:hAnsi="Calibri" w:cs="Calibri"/>
          <w:sz w:val="18"/>
          <w:szCs w:val="18"/>
        </w:rPr>
      </w:pPr>
      <w:r w:rsidRPr="4A2FE55F">
        <w:rPr>
          <w:rFonts w:ascii="Calibri" w:eastAsia="Calibri" w:hAnsi="Calibri" w:cs="Calibri"/>
          <w:sz w:val="20"/>
          <w:szCs w:val="20"/>
        </w:rPr>
        <w:t>Afin d’évaluer les pratiques de prescription des anti-infectieux dans notre établissement</w:t>
      </w:r>
      <w:r w:rsidR="74D46D1B" w:rsidRPr="4A2FE55F">
        <w:rPr>
          <w:rFonts w:ascii="Calibri" w:eastAsia="Calibri" w:hAnsi="Calibri" w:cs="Calibri"/>
          <w:sz w:val="20"/>
          <w:szCs w:val="20"/>
        </w:rPr>
        <w:t>,</w:t>
      </w:r>
      <w:r w:rsidR="2BA33F55" w:rsidRPr="4A2FE55F">
        <w:rPr>
          <w:rFonts w:ascii="Calibri" w:eastAsia="Calibri" w:hAnsi="Calibri" w:cs="Calibri"/>
          <w:sz w:val="20"/>
          <w:szCs w:val="20"/>
        </w:rPr>
        <w:t xml:space="preserve"> conformément à la décision prise en </w:t>
      </w:r>
      <w:r w:rsidR="1560CB93" w:rsidRPr="4A2FE55F">
        <w:rPr>
          <w:rFonts w:ascii="Calibri" w:eastAsia="Calibri" w:hAnsi="Calibri" w:cs="Calibri"/>
          <w:sz w:val="20"/>
          <w:szCs w:val="20"/>
        </w:rPr>
        <w:t xml:space="preserve">(e.g. </w:t>
      </w:r>
      <w:r w:rsidR="1560CB93" w:rsidRPr="005F1574">
        <w:rPr>
          <w:rFonts w:eastAsiaTheme="minorEastAsia"/>
          <w:b/>
          <w:bCs/>
          <w:i/>
          <w:iCs/>
          <w:color w:val="0B769F" w:themeColor="accent4" w:themeShade="BF"/>
          <w:sz w:val="20"/>
          <w:szCs w:val="20"/>
        </w:rPr>
        <w:t>COMEDIMS</w:t>
      </w:r>
      <w:r w:rsidR="6EB3A21C" w:rsidRPr="005F1574">
        <w:rPr>
          <w:rFonts w:eastAsiaTheme="minorEastAsia"/>
          <w:b/>
          <w:bCs/>
          <w:i/>
          <w:iCs/>
          <w:color w:val="0B769F" w:themeColor="accent4" w:themeShade="BF"/>
          <w:sz w:val="20"/>
          <w:szCs w:val="20"/>
        </w:rPr>
        <w:t>/Commission des Anti-infectieux</w:t>
      </w:r>
      <w:r w:rsidR="1560CB93" w:rsidRPr="4A2FE55F">
        <w:rPr>
          <w:rFonts w:ascii="Calibri" w:eastAsia="Calibri" w:hAnsi="Calibri" w:cs="Calibri"/>
          <w:sz w:val="20"/>
          <w:szCs w:val="20"/>
        </w:rPr>
        <w:t xml:space="preserve">) le </w:t>
      </w:r>
      <w:r w:rsidR="5732D4E8" w:rsidRPr="4A2FE55F">
        <w:rPr>
          <w:rFonts w:eastAsiaTheme="minorEastAsia"/>
          <w:b/>
          <w:bCs/>
          <w:i/>
          <w:iCs/>
          <w:color w:val="0B769F" w:themeColor="accent4" w:themeShade="BF"/>
          <w:sz w:val="20"/>
          <w:szCs w:val="20"/>
        </w:rPr>
        <w:t xml:space="preserve">.../..../.......... </w:t>
      </w:r>
      <w:r w:rsidR="386C62AA" w:rsidRPr="4A2FE55F">
        <w:rPr>
          <w:rFonts w:ascii="Calibri" w:eastAsia="Calibri" w:hAnsi="Calibri" w:cs="Calibri"/>
          <w:sz w:val="20"/>
          <w:szCs w:val="20"/>
        </w:rPr>
        <w:t>, nous</w:t>
      </w:r>
      <w:r w:rsidR="74D46D1B" w:rsidRPr="4A2FE55F">
        <w:rPr>
          <w:rFonts w:ascii="Calibri" w:eastAsia="Calibri" w:hAnsi="Calibri" w:cs="Calibri"/>
          <w:sz w:val="20"/>
          <w:szCs w:val="20"/>
        </w:rPr>
        <w:t xml:space="preserve"> vous informons que nous </w:t>
      </w:r>
      <w:r w:rsidR="0D168400" w:rsidRPr="4A2FE55F">
        <w:rPr>
          <w:rFonts w:ascii="Calibri" w:eastAsia="Calibri" w:hAnsi="Calibri" w:cs="Calibri"/>
          <w:sz w:val="20"/>
          <w:szCs w:val="20"/>
        </w:rPr>
        <w:t>allons réaliser</w:t>
      </w:r>
      <w:r w:rsidR="74D46D1B" w:rsidRPr="4A2FE55F">
        <w:rPr>
          <w:rFonts w:ascii="Calibri" w:eastAsia="Calibri" w:hAnsi="Calibri" w:cs="Calibri"/>
          <w:sz w:val="20"/>
          <w:szCs w:val="20"/>
        </w:rPr>
        <w:t xml:space="preserve"> une évaluation qui aura pour objectif de mettre en place un indicateur de suivi pour notre établissement par une méthodologie simplifiée et reproductible </w:t>
      </w:r>
      <w:r w:rsidR="0CFDAB7E" w:rsidRPr="4A2FE55F">
        <w:rPr>
          <w:rFonts w:ascii="Calibri" w:eastAsia="Calibri" w:hAnsi="Calibri" w:cs="Calibri"/>
          <w:sz w:val="20"/>
          <w:szCs w:val="20"/>
        </w:rPr>
        <w:t>utilisant</w:t>
      </w:r>
      <w:r w:rsidR="5A4556F4" w:rsidRPr="4A2FE55F">
        <w:rPr>
          <w:rFonts w:ascii="Calibri" w:eastAsia="Calibri" w:hAnsi="Calibri" w:cs="Calibri"/>
          <w:sz w:val="20"/>
          <w:szCs w:val="20"/>
        </w:rPr>
        <w:t xml:space="preserve"> l’outil</w:t>
      </w:r>
      <w:r w:rsidR="1915C943" w:rsidRPr="4A2FE55F">
        <w:rPr>
          <w:rFonts w:ascii="Calibri" w:eastAsia="Calibri" w:hAnsi="Calibri" w:cs="Calibri"/>
          <w:sz w:val="20"/>
          <w:szCs w:val="20"/>
        </w:rPr>
        <w:t xml:space="preserve"> national</w:t>
      </w:r>
      <w:r w:rsidR="5A4556F4" w:rsidRPr="4A2FE55F">
        <w:rPr>
          <w:rFonts w:ascii="Calibri" w:eastAsia="Calibri" w:hAnsi="Calibri" w:cs="Calibri"/>
          <w:sz w:val="20"/>
          <w:szCs w:val="20"/>
        </w:rPr>
        <w:t xml:space="preserve"> Quick ÉVAL Antibio. Cet outil </w:t>
      </w:r>
      <w:r w:rsidR="729BDBBC" w:rsidRPr="4A2FE55F">
        <w:rPr>
          <w:rFonts w:ascii="Calibri" w:eastAsia="Calibri" w:hAnsi="Calibri" w:cs="Calibri"/>
          <w:sz w:val="20"/>
          <w:szCs w:val="20"/>
        </w:rPr>
        <w:t>proposé par la mission nationale SPARES est un outil d’évaluation simple et rapide, standardisé mais flexible, mis à la disposition des établissements de santé pour évaluer la documentation dans le dossier et la pertinence des prescriptions d’antibiotiques.</w:t>
      </w:r>
      <w:r w:rsidR="545572A1" w:rsidRPr="4A2FE55F">
        <w:rPr>
          <w:rFonts w:ascii="Calibri" w:eastAsia="Calibri" w:hAnsi="Calibri" w:cs="Calibri"/>
          <w:sz w:val="20"/>
          <w:szCs w:val="20"/>
        </w:rPr>
        <w:t xml:space="preserve"> </w:t>
      </w:r>
      <w:r w:rsidR="729BDBBC" w:rsidRPr="4A2FE55F">
        <w:rPr>
          <w:rFonts w:ascii="Calibri" w:eastAsia="Calibri" w:hAnsi="Calibri" w:cs="Calibri"/>
          <w:sz w:val="20"/>
          <w:szCs w:val="20"/>
        </w:rPr>
        <w:t xml:space="preserve">Cet outil permet de répondre en partie au </w:t>
      </w:r>
      <w:hyperlink r:id="rId12">
        <w:r w:rsidR="729BDBBC" w:rsidRPr="4A2FE55F">
          <w:rPr>
            <w:rStyle w:val="Lienhypertexte"/>
            <w:rFonts w:ascii="Calibri" w:eastAsia="Calibri" w:hAnsi="Calibri" w:cs="Calibri"/>
            <w:color w:val="0000FF"/>
            <w:sz w:val="20"/>
            <w:szCs w:val="20"/>
          </w:rPr>
          <w:t>Critère 2.4-02 « La pertinence des prescriptions d’antibiotiques est argumentée et réévaluée »</w:t>
        </w:r>
      </w:hyperlink>
      <w:r w:rsidR="729BDBBC" w:rsidRPr="4A2FE55F">
        <w:rPr>
          <w:rFonts w:ascii="Calibri" w:eastAsia="Calibri" w:hAnsi="Calibri" w:cs="Calibri"/>
          <w:sz w:val="20"/>
          <w:szCs w:val="20"/>
        </w:rPr>
        <w:t xml:space="preserve"> de la certification des établissements de santé qui intègre le suivi d’indicateurs tels que le pourcentage d’antibiotiques prescrits en conformité avec les </w:t>
      </w:r>
      <w:r w:rsidR="4C90A1C0" w:rsidRPr="4A2FE55F">
        <w:rPr>
          <w:rFonts w:ascii="Calibri" w:eastAsia="Calibri" w:hAnsi="Calibri" w:cs="Calibri"/>
          <w:sz w:val="20"/>
          <w:szCs w:val="20"/>
        </w:rPr>
        <w:t>recommandations</w:t>
      </w:r>
      <w:r w:rsidR="729BDBBC" w:rsidRPr="4A2FE55F">
        <w:rPr>
          <w:rFonts w:ascii="Calibri" w:eastAsia="Calibri" w:hAnsi="Calibri" w:cs="Calibri"/>
          <w:sz w:val="20"/>
          <w:szCs w:val="20"/>
        </w:rPr>
        <w:t xml:space="preserve"> et la mise en place d’actions d’amélioration.   </w:t>
      </w:r>
      <w:r w:rsidR="2E8F68B8" w:rsidRPr="4A2FE55F">
        <w:rPr>
          <w:rFonts w:ascii="Calibri" w:eastAsia="Calibri" w:hAnsi="Calibri" w:cs="Calibri"/>
          <w:sz w:val="20"/>
          <w:szCs w:val="20"/>
        </w:rPr>
        <w:t xml:space="preserve"> </w:t>
      </w:r>
    </w:p>
    <w:p w14:paraId="410E28D8" w14:textId="744BB5C7" w:rsidR="20DD2084" w:rsidRDefault="5F3E558A" w:rsidP="43C8CB05">
      <w:pPr>
        <w:spacing w:after="0"/>
        <w:jc w:val="both"/>
        <w:rPr>
          <w:rFonts w:eastAsiaTheme="minorEastAsia"/>
          <w:b/>
          <w:bCs/>
          <w:i/>
          <w:iCs/>
          <w:color w:val="0B769F" w:themeColor="accent4" w:themeShade="BF"/>
          <w:sz w:val="20"/>
          <w:szCs w:val="20"/>
        </w:rPr>
      </w:pPr>
      <w:r w:rsidRPr="43C8CB05">
        <w:rPr>
          <w:rFonts w:ascii="Calibri" w:eastAsia="Calibri" w:hAnsi="Calibri" w:cs="Calibri"/>
          <w:sz w:val="20"/>
          <w:szCs w:val="20"/>
        </w:rPr>
        <w:t>En pratique, l'</w:t>
      </w:r>
      <w:r w:rsidR="73C5EC7D" w:rsidRPr="43C8CB05">
        <w:rPr>
          <w:rFonts w:ascii="Calibri" w:eastAsia="Calibri" w:hAnsi="Calibri" w:cs="Calibri"/>
          <w:sz w:val="20"/>
          <w:szCs w:val="20"/>
        </w:rPr>
        <w:t xml:space="preserve">évaluation </w:t>
      </w:r>
      <w:r w:rsidRPr="43C8CB05">
        <w:rPr>
          <w:rFonts w:ascii="Calibri" w:eastAsia="Calibri" w:hAnsi="Calibri" w:cs="Calibri"/>
          <w:sz w:val="20"/>
          <w:szCs w:val="20"/>
        </w:rPr>
        <w:t xml:space="preserve">se déroulera selon les modalités suivantes </w:t>
      </w:r>
      <w:r w:rsidR="26D246F1" w:rsidRPr="43C8CB05">
        <w:rPr>
          <w:rFonts w:eastAsiaTheme="minorEastAsia"/>
          <w:b/>
          <w:bCs/>
          <w:i/>
          <w:iCs/>
          <w:color w:val="0B769F" w:themeColor="accent4" w:themeShade="BF"/>
          <w:sz w:val="20"/>
          <w:szCs w:val="20"/>
        </w:rPr>
        <w:t xml:space="preserve">(à compléter selon la méthodologie choisie) </w:t>
      </w:r>
      <w:r w:rsidRPr="43C8CB05">
        <w:rPr>
          <w:rFonts w:eastAsiaTheme="minorEastAsia"/>
          <w:b/>
          <w:bCs/>
          <w:i/>
          <w:iCs/>
          <w:color w:val="0B769F" w:themeColor="accent4" w:themeShade="BF"/>
          <w:sz w:val="20"/>
          <w:szCs w:val="20"/>
        </w:rPr>
        <w:t>:</w:t>
      </w:r>
    </w:p>
    <w:p w14:paraId="4D8A3B2C" w14:textId="3AEEEF20" w:rsidR="20DD2084" w:rsidRDefault="2E8F68B8" w:rsidP="4A2FE55F">
      <w:pPr>
        <w:pStyle w:val="Paragraphedeliste"/>
        <w:numPr>
          <w:ilvl w:val="0"/>
          <w:numId w:val="4"/>
        </w:numPr>
        <w:spacing w:after="0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4A2FE55F">
        <w:rPr>
          <w:rFonts w:ascii="Calibri" w:eastAsia="Calibri" w:hAnsi="Calibri" w:cs="Calibri"/>
          <w:sz w:val="20"/>
          <w:szCs w:val="20"/>
        </w:rPr>
        <w:t>Période de l'</w:t>
      </w:r>
      <w:r w:rsidR="0782DBC2" w:rsidRPr="4A2FE55F">
        <w:rPr>
          <w:rFonts w:ascii="Calibri" w:eastAsia="Calibri" w:hAnsi="Calibri" w:cs="Calibri"/>
          <w:sz w:val="20"/>
          <w:szCs w:val="20"/>
        </w:rPr>
        <w:t>évaluation</w:t>
      </w:r>
      <w:r w:rsidRPr="4A2FE55F">
        <w:rPr>
          <w:rFonts w:ascii="Calibri" w:eastAsia="Calibri" w:hAnsi="Calibri" w:cs="Calibri"/>
          <w:sz w:val="20"/>
          <w:szCs w:val="20"/>
        </w:rPr>
        <w:t xml:space="preserve"> : </w:t>
      </w:r>
      <w:r w:rsidR="29D049B8" w:rsidRPr="4A2FE55F">
        <w:rPr>
          <w:rFonts w:eastAsiaTheme="minorEastAsia"/>
          <w:b/>
          <w:bCs/>
          <w:i/>
          <w:iCs/>
          <w:color w:val="0B769F" w:themeColor="accent4" w:themeShade="BF"/>
          <w:sz w:val="20"/>
          <w:szCs w:val="20"/>
        </w:rPr>
        <w:t>à compléter</w:t>
      </w:r>
    </w:p>
    <w:p w14:paraId="45FD2D45" w14:textId="0937B3AD" w:rsidR="20DD2084" w:rsidRDefault="2E8F68B8" w:rsidP="43C8CB05">
      <w:pPr>
        <w:pStyle w:val="Paragraphedeliste"/>
        <w:numPr>
          <w:ilvl w:val="0"/>
          <w:numId w:val="4"/>
        </w:num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4A2FE55F">
        <w:rPr>
          <w:rFonts w:ascii="Calibri" w:eastAsia="Calibri" w:hAnsi="Calibri" w:cs="Calibri"/>
          <w:sz w:val="20"/>
          <w:szCs w:val="20"/>
        </w:rPr>
        <w:t xml:space="preserve">Secteurs concernés : </w:t>
      </w:r>
      <w:r w:rsidR="75D01DC1" w:rsidRPr="4A2FE55F">
        <w:rPr>
          <w:rFonts w:eastAsiaTheme="minorEastAsia"/>
          <w:b/>
          <w:bCs/>
          <w:i/>
          <w:iCs/>
          <w:color w:val="0B769F" w:themeColor="accent4" w:themeShade="BF"/>
          <w:sz w:val="20"/>
          <w:szCs w:val="20"/>
        </w:rPr>
        <w:t>à compléter</w:t>
      </w:r>
    </w:p>
    <w:p w14:paraId="4C78428D" w14:textId="275FF618" w:rsidR="20DD2084" w:rsidRDefault="2E8F68B8" w:rsidP="4A2FE55F">
      <w:pPr>
        <w:pStyle w:val="Paragraphedeliste"/>
        <w:numPr>
          <w:ilvl w:val="0"/>
          <w:numId w:val="5"/>
        </w:num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5F1574">
        <w:rPr>
          <w:rFonts w:ascii="Calibri" w:eastAsia="Calibri" w:hAnsi="Calibri" w:cs="Calibri"/>
          <w:sz w:val="20"/>
          <w:szCs w:val="20"/>
        </w:rPr>
        <w:t xml:space="preserve">Patients : </w:t>
      </w:r>
      <w:r w:rsidR="23071A28" w:rsidRPr="005F1574">
        <w:rPr>
          <w:rFonts w:ascii="Calibri" w:eastAsia="Calibri" w:hAnsi="Calibri" w:cs="Calibri"/>
          <w:sz w:val="20"/>
          <w:szCs w:val="20"/>
        </w:rPr>
        <w:t>tout patient recevant</w:t>
      </w:r>
      <w:r w:rsidR="23071A28" w:rsidRPr="4A2FE55F">
        <w:rPr>
          <w:rFonts w:ascii="Calibri" w:eastAsia="Calibri" w:hAnsi="Calibri" w:cs="Calibri"/>
          <w:sz w:val="20"/>
          <w:szCs w:val="20"/>
        </w:rPr>
        <w:t xml:space="preserve"> une antibiothérapie correspondant à une situation clinique incluse </w:t>
      </w:r>
      <w:r w:rsidR="23071A28" w:rsidRPr="005F1574">
        <w:rPr>
          <w:rFonts w:ascii="Calibri" w:eastAsia="Calibri" w:hAnsi="Calibri" w:cs="Calibri"/>
          <w:sz w:val="20"/>
          <w:szCs w:val="20"/>
        </w:rPr>
        <w:t>dans le référentiel de l'établissement de santé</w:t>
      </w:r>
      <w:r w:rsidR="5766F3E1" w:rsidRPr="4A2FE55F">
        <w:rPr>
          <w:rFonts w:eastAsiaTheme="minorEastAsia"/>
          <w:sz w:val="20"/>
          <w:szCs w:val="20"/>
        </w:rPr>
        <w:t xml:space="preserve"> </w:t>
      </w:r>
      <w:r w:rsidR="57316A9F" w:rsidRPr="4A2FE55F">
        <w:rPr>
          <w:rFonts w:eastAsiaTheme="minorEastAsia"/>
          <w:b/>
          <w:bCs/>
          <w:i/>
          <w:iCs/>
          <w:color w:val="0B769F" w:themeColor="accent4" w:themeShade="BF"/>
          <w:sz w:val="20"/>
          <w:szCs w:val="20"/>
        </w:rPr>
        <w:t>(indiquer nom</w:t>
      </w:r>
      <w:r w:rsidR="6299A3BA" w:rsidRPr="4A2FE55F">
        <w:rPr>
          <w:rFonts w:eastAsiaTheme="minorEastAsia"/>
          <w:b/>
          <w:bCs/>
          <w:i/>
          <w:iCs/>
          <w:color w:val="0B769F" w:themeColor="accent4" w:themeShade="BF"/>
          <w:sz w:val="20"/>
          <w:szCs w:val="20"/>
        </w:rPr>
        <w:t xml:space="preserve"> + mettre lien</w:t>
      </w:r>
      <w:r w:rsidR="57316A9F" w:rsidRPr="4A2FE55F">
        <w:rPr>
          <w:rFonts w:eastAsiaTheme="minorEastAsia"/>
          <w:b/>
          <w:bCs/>
          <w:i/>
          <w:iCs/>
          <w:color w:val="0B769F" w:themeColor="accent4" w:themeShade="BF"/>
          <w:sz w:val="20"/>
          <w:szCs w:val="20"/>
        </w:rPr>
        <w:t>)</w:t>
      </w:r>
    </w:p>
    <w:p w14:paraId="57B7C9BF" w14:textId="60ED5D1B" w:rsidR="20DD2084" w:rsidRDefault="74D46D1B" w:rsidP="4A2FE55F">
      <w:pPr>
        <w:pStyle w:val="Paragraphedeliste"/>
        <w:numPr>
          <w:ilvl w:val="0"/>
          <w:numId w:val="5"/>
        </w:numPr>
        <w:spacing w:after="0"/>
        <w:jc w:val="both"/>
        <w:rPr>
          <w:rFonts w:eastAsiaTheme="minorEastAsia"/>
          <w:b/>
          <w:bCs/>
          <w:i/>
          <w:iCs/>
          <w:color w:val="0B769F" w:themeColor="accent4" w:themeShade="BF"/>
          <w:sz w:val="20"/>
          <w:szCs w:val="20"/>
        </w:rPr>
      </w:pPr>
      <w:r w:rsidRPr="4A2FE55F">
        <w:rPr>
          <w:rFonts w:ascii="Calibri" w:eastAsia="Calibri" w:hAnsi="Calibri" w:cs="Calibri"/>
          <w:sz w:val="20"/>
          <w:szCs w:val="20"/>
        </w:rPr>
        <w:t xml:space="preserve">Sélection des dossiers : </w:t>
      </w:r>
      <w:r w:rsidR="104D7056" w:rsidRPr="4A2FE55F">
        <w:rPr>
          <w:rFonts w:eastAsiaTheme="minorEastAsia"/>
          <w:b/>
          <w:bCs/>
          <w:i/>
          <w:iCs/>
          <w:color w:val="0B769F" w:themeColor="accent4" w:themeShade="BF"/>
          <w:sz w:val="20"/>
          <w:szCs w:val="20"/>
        </w:rPr>
        <w:t>à compléter</w:t>
      </w:r>
      <w:r w:rsidR="2C87BFD7" w:rsidRPr="4A2FE55F">
        <w:rPr>
          <w:rFonts w:eastAsiaTheme="minorEastAsia"/>
          <w:b/>
          <w:bCs/>
          <w:i/>
          <w:iCs/>
          <w:color w:val="0B769F" w:themeColor="accent4" w:themeShade="BF"/>
          <w:sz w:val="20"/>
          <w:szCs w:val="20"/>
        </w:rPr>
        <w:t xml:space="preserve"> (exemple : au cours de l’analyse pharmaceutique)</w:t>
      </w:r>
    </w:p>
    <w:p w14:paraId="358646B9" w14:textId="16B17957" w:rsidR="20DD2084" w:rsidRDefault="5F3E558A" w:rsidP="43C8CB05">
      <w:pPr>
        <w:pStyle w:val="Paragraphedeliste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43C8CB05">
        <w:rPr>
          <w:rFonts w:ascii="Calibri" w:eastAsia="Calibri" w:hAnsi="Calibri" w:cs="Calibri"/>
          <w:sz w:val="20"/>
          <w:szCs w:val="20"/>
        </w:rPr>
        <w:t>Modalités du recueil et d'analyse des données</w:t>
      </w:r>
      <w:r w:rsidR="1B44C6B7" w:rsidRPr="43C8CB05">
        <w:rPr>
          <w:rFonts w:ascii="Calibri" w:eastAsia="Calibri" w:hAnsi="Calibri" w:cs="Calibri"/>
          <w:sz w:val="20"/>
          <w:szCs w:val="20"/>
        </w:rPr>
        <w:t xml:space="preserve"> </w:t>
      </w:r>
      <w:r w:rsidR="1B44C6B7" w:rsidRPr="43C8CB05">
        <w:rPr>
          <w:rFonts w:eastAsiaTheme="minorEastAsia"/>
          <w:b/>
          <w:bCs/>
          <w:i/>
          <w:iCs/>
          <w:color w:val="0B769F" w:themeColor="accent4" w:themeShade="BF"/>
          <w:sz w:val="20"/>
          <w:szCs w:val="20"/>
        </w:rPr>
        <w:t>(à modifier selon la méthodologie choisie)</w:t>
      </w:r>
      <w:r w:rsidRPr="43C8CB05">
        <w:rPr>
          <w:rFonts w:ascii="Calibri" w:eastAsia="Calibri" w:hAnsi="Calibri" w:cs="Calibri"/>
          <w:sz w:val="20"/>
          <w:szCs w:val="20"/>
        </w:rPr>
        <w:t xml:space="preserve"> :</w:t>
      </w:r>
    </w:p>
    <w:p w14:paraId="659531CC" w14:textId="27D78FE9" w:rsidR="20DD2084" w:rsidRDefault="2E8F68B8" w:rsidP="43C8CB05">
      <w:pPr>
        <w:pStyle w:val="Paragraphedeliste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4A2FE55F">
        <w:rPr>
          <w:rFonts w:ascii="Calibri" w:eastAsia="Calibri" w:hAnsi="Calibri" w:cs="Calibri"/>
          <w:sz w:val="20"/>
          <w:szCs w:val="20"/>
        </w:rPr>
        <w:t xml:space="preserve">Un </w:t>
      </w:r>
      <w:r w:rsidR="3563D191" w:rsidRPr="4A2FE55F">
        <w:rPr>
          <w:rFonts w:ascii="Calibri" w:eastAsia="Calibri" w:hAnsi="Calibri" w:cs="Calibri"/>
          <w:sz w:val="20"/>
          <w:szCs w:val="20"/>
        </w:rPr>
        <w:t xml:space="preserve">évaluateur </w:t>
      </w:r>
      <w:r w:rsidRPr="4A2FE55F">
        <w:rPr>
          <w:rFonts w:ascii="Calibri" w:eastAsia="Calibri" w:hAnsi="Calibri" w:cs="Calibri"/>
          <w:sz w:val="20"/>
          <w:szCs w:val="20"/>
        </w:rPr>
        <w:t>(</w:t>
      </w:r>
      <w:r w:rsidR="283BBA13" w:rsidRPr="4A2FE55F">
        <w:rPr>
          <w:rFonts w:ascii="Calibri" w:eastAsia="Calibri" w:hAnsi="Calibri" w:cs="Calibri"/>
          <w:sz w:val="20"/>
          <w:szCs w:val="20"/>
        </w:rPr>
        <w:t xml:space="preserve">e.g. </w:t>
      </w:r>
      <w:r w:rsidRPr="4A2FE55F">
        <w:rPr>
          <w:rFonts w:ascii="Calibri" w:eastAsia="Calibri" w:hAnsi="Calibri" w:cs="Calibri"/>
          <w:sz w:val="20"/>
          <w:szCs w:val="20"/>
        </w:rPr>
        <w:t>pharmacien, interne en pharmacie, infectiologue</w:t>
      </w:r>
      <w:r w:rsidR="56684E81" w:rsidRPr="4A2FE55F">
        <w:rPr>
          <w:rFonts w:ascii="Calibri" w:eastAsia="Calibri" w:hAnsi="Calibri" w:cs="Calibri"/>
          <w:sz w:val="20"/>
          <w:szCs w:val="20"/>
        </w:rPr>
        <w:t>, médecin du service</w:t>
      </w:r>
      <w:r w:rsidRPr="4A2FE55F">
        <w:rPr>
          <w:rFonts w:ascii="Calibri" w:eastAsia="Calibri" w:hAnsi="Calibri" w:cs="Calibri"/>
          <w:sz w:val="20"/>
          <w:szCs w:val="20"/>
        </w:rPr>
        <w:t>) relèvera : le motif de la prescription, les modalités de la réévaluation, la durée prévisionnelle ou effective du traitement</w:t>
      </w:r>
    </w:p>
    <w:p w14:paraId="480B5A9F" w14:textId="2B23C0A9" w:rsidR="20DD2084" w:rsidRDefault="5F3E558A" w:rsidP="43C8CB05">
      <w:pPr>
        <w:pStyle w:val="Paragraphedeliste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43C8CB05">
        <w:rPr>
          <w:rFonts w:ascii="Calibri" w:eastAsia="Calibri" w:hAnsi="Calibri" w:cs="Calibri"/>
          <w:sz w:val="20"/>
          <w:szCs w:val="20"/>
        </w:rPr>
        <w:t>Recueil anonyme (patient et servi</w:t>
      </w:r>
      <w:r w:rsidR="4B3B30A4" w:rsidRPr="43C8CB05">
        <w:rPr>
          <w:rFonts w:ascii="Calibri" w:eastAsia="Calibri" w:hAnsi="Calibri" w:cs="Calibri"/>
          <w:sz w:val="20"/>
          <w:szCs w:val="20"/>
        </w:rPr>
        <w:t>c</w:t>
      </w:r>
      <w:r w:rsidRPr="43C8CB05">
        <w:rPr>
          <w:rFonts w:ascii="Calibri" w:eastAsia="Calibri" w:hAnsi="Calibri" w:cs="Calibri"/>
          <w:sz w:val="20"/>
          <w:szCs w:val="20"/>
        </w:rPr>
        <w:t>e), informatisé, enregistré uniquement sur un serveur de</w:t>
      </w:r>
      <w:r w:rsidR="1710942E" w:rsidRPr="43C8CB05">
        <w:rPr>
          <w:rFonts w:ascii="Calibri" w:eastAsia="Calibri" w:hAnsi="Calibri" w:cs="Calibri"/>
          <w:sz w:val="20"/>
          <w:szCs w:val="20"/>
        </w:rPr>
        <w:t xml:space="preserve"> l’établissement</w:t>
      </w:r>
    </w:p>
    <w:p w14:paraId="5A9E6807" w14:textId="335ED0BE" w:rsidR="20DD2084" w:rsidRDefault="619D7854" w:rsidP="43C8CB05">
      <w:pPr>
        <w:pStyle w:val="Paragraphedeliste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43C8CB05">
        <w:rPr>
          <w:rFonts w:ascii="Calibri" w:eastAsia="Calibri" w:hAnsi="Calibri" w:cs="Calibri"/>
          <w:sz w:val="20"/>
          <w:szCs w:val="20"/>
        </w:rPr>
        <w:t>Analyse descriptive des données</w:t>
      </w:r>
    </w:p>
    <w:p w14:paraId="1C5F2D4D" w14:textId="70897857" w:rsidR="20DD2084" w:rsidRDefault="2E8F68B8" w:rsidP="4A2FE55F">
      <w:pPr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4A2FE55F">
        <w:rPr>
          <w:rFonts w:ascii="Calibri" w:eastAsia="Calibri" w:hAnsi="Calibri" w:cs="Calibri"/>
          <w:sz w:val="20"/>
          <w:szCs w:val="20"/>
        </w:rPr>
        <w:t>Retour d'information et suivi de l'indicateur : Commission des Anti</w:t>
      </w:r>
      <w:r w:rsidR="6267983A" w:rsidRPr="4A2FE55F">
        <w:rPr>
          <w:rFonts w:ascii="Calibri" w:eastAsia="Calibri" w:hAnsi="Calibri" w:cs="Calibri"/>
          <w:sz w:val="20"/>
          <w:szCs w:val="20"/>
        </w:rPr>
        <w:t>-</w:t>
      </w:r>
      <w:r w:rsidRPr="4A2FE55F">
        <w:rPr>
          <w:rFonts w:ascii="Calibri" w:eastAsia="Calibri" w:hAnsi="Calibri" w:cs="Calibri"/>
          <w:sz w:val="20"/>
          <w:szCs w:val="20"/>
        </w:rPr>
        <w:t xml:space="preserve">infectieux, COMEDIMS, CME, Newsletter </w:t>
      </w:r>
      <w:r w:rsidR="24A01E6E" w:rsidRPr="4A2FE55F">
        <w:rPr>
          <w:rFonts w:eastAsiaTheme="minorEastAsia"/>
          <w:b/>
          <w:bCs/>
          <w:i/>
          <w:iCs/>
          <w:color w:val="0B769F" w:themeColor="accent4" w:themeShade="BF"/>
          <w:sz w:val="20"/>
          <w:szCs w:val="20"/>
        </w:rPr>
        <w:t>(</w:t>
      </w:r>
      <w:r w:rsidR="11E31B8A" w:rsidRPr="4A2FE55F">
        <w:rPr>
          <w:rFonts w:eastAsiaTheme="minorEastAsia"/>
          <w:b/>
          <w:bCs/>
          <w:i/>
          <w:iCs/>
          <w:color w:val="0B769F" w:themeColor="accent4" w:themeShade="BF"/>
          <w:sz w:val="20"/>
          <w:szCs w:val="20"/>
        </w:rPr>
        <w:t>à c</w:t>
      </w:r>
      <w:r w:rsidR="11E31B8A" w:rsidRPr="005F1574">
        <w:rPr>
          <w:rFonts w:eastAsiaTheme="minorEastAsia"/>
          <w:b/>
          <w:bCs/>
          <w:i/>
          <w:iCs/>
          <w:color w:val="0B769F" w:themeColor="accent4" w:themeShade="BF"/>
          <w:sz w:val="20"/>
          <w:szCs w:val="20"/>
        </w:rPr>
        <w:t>ompléter selon les modalités de communication choisi</w:t>
      </w:r>
      <w:r w:rsidR="2E71A44E" w:rsidRPr="005F1574">
        <w:rPr>
          <w:rFonts w:eastAsiaTheme="minorEastAsia"/>
          <w:b/>
          <w:bCs/>
          <w:i/>
          <w:iCs/>
          <w:color w:val="0B769F" w:themeColor="accent4" w:themeShade="BF"/>
          <w:sz w:val="20"/>
          <w:szCs w:val="20"/>
        </w:rPr>
        <w:t>es</w:t>
      </w:r>
      <w:r w:rsidR="11E31B8A" w:rsidRPr="005F1574">
        <w:rPr>
          <w:rFonts w:eastAsiaTheme="minorEastAsia"/>
          <w:b/>
          <w:bCs/>
          <w:i/>
          <w:iCs/>
          <w:color w:val="0B769F" w:themeColor="accent4" w:themeShade="BF"/>
          <w:sz w:val="20"/>
          <w:szCs w:val="20"/>
        </w:rPr>
        <w:t>)</w:t>
      </w:r>
    </w:p>
    <w:p w14:paraId="5B66ADB1" w14:textId="17EB6D56" w:rsidR="20DD2084" w:rsidRDefault="2E8F68B8" w:rsidP="43C8CB05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4A2FE55F">
        <w:rPr>
          <w:rFonts w:ascii="Calibri" w:eastAsia="Calibri" w:hAnsi="Calibri" w:cs="Calibri"/>
          <w:sz w:val="20"/>
          <w:szCs w:val="20"/>
        </w:rPr>
        <w:t xml:space="preserve"> Nous restons à votre disposition pour vous apporter toutes précisions utiles et envisageons, sans opposition de votre part, de débuter </w:t>
      </w:r>
      <w:r w:rsidR="4EB2F274" w:rsidRPr="4A2FE55F">
        <w:rPr>
          <w:rFonts w:ascii="Calibri" w:eastAsia="Calibri" w:hAnsi="Calibri" w:cs="Calibri"/>
          <w:sz w:val="20"/>
          <w:szCs w:val="20"/>
        </w:rPr>
        <w:t xml:space="preserve">l’évaluation </w:t>
      </w:r>
      <w:r w:rsidRPr="4A2FE55F">
        <w:rPr>
          <w:rFonts w:ascii="Calibri" w:eastAsia="Calibri" w:hAnsi="Calibri" w:cs="Calibri"/>
          <w:sz w:val="20"/>
          <w:szCs w:val="20"/>
        </w:rPr>
        <w:t>au cours d</w:t>
      </w:r>
      <w:r w:rsidR="259774B5" w:rsidRPr="4A2FE55F">
        <w:rPr>
          <w:rFonts w:ascii="Calibri" w:eastAsia="Calibri" w:hAnsi="Calibri" w:cs="Calibri"/>
          <w:sz w:val="20"/>
          <w:szCs w:val="20"/>
        </w:rPr>
        <w:t>e la période mentionnée</w:t>
      </w:r>
      <w:r w:rsidRPr="4A2FE55F">
        <w:rPr>
          <w:rFonts w:ascii="Calibri" w:eastAsia="Calibri" w:hAnsi="Calibri" w:cs="Calibri"/>
          <w:sz w:val="20"/>
          <w:szCs w:val="20"/>
        </w:rPr>
        <w:t>.</w:t>
      </w:r>
    </w:p>
    <w:p w14:paraId="54AEDFE7" w14:textId="1625A3EE" w:rsidR="4A2FE55F" w:rsidRDefault="4A2FE55F" w:rsidP="4A2FE55F">
      <w:pPr>
        <w:spacing w:after="0"/>
        <w:ind w:left="4956"/>
        <w:jc w:val="both"/>
        <w:rPr>
          <w:rFonts w:ascii="Calibri" w:eastAsia="Calibri" w:hAnsi="Calibri" w:cs="Calibri"/>
          <w:sz w:val="20"/>
          <w:szCs w:val="20"/>
        </w:rPr>
      </w:pPr>
    </w:p>
    <w:p w14:paraId="1FEC0E4C" w14:textId="0D6D3312" w:rsidR="5E0F2E7C" w:rsidRDefault="3C50BDB0" w:rsidP="43C8CB05">
      <w:pPr>
        <w:spacing w:after="0"/>
        <w:ind w:left="4956"/>
        <w:jc w:val="both"/>
        <w:rPr>
          <w:rFonts w:ascii="Calibri" w:eastAsia="Calibri" w:hAnsi="Calibri" w:cs="Calibri"/>
          <w:sz w:val="20"/>
          <w:szCs w:val="20"/>
        </w:rPr>
      </w:pPr>
      <w:r w:rsidRPr="4A2FE55F">
        <w:rPr>
          <w:rFonts w:ascii="Calibri" w:eastAsia="Calibri" w:hAnsi="Calibri" w:cs="Calibri"/>
          <w:sz w:val="20"/>
          <w:szCs w:val="20"/>
        </w:rPr>
        <w:t>Le ré</w:t>
      </w:r>
      <w:r w:rsidR="6A56DD11" w:rsidRPr="4A2FE55F">
        <w:rPr>
          <w:rFonts w:ascii="Calibri" w:eastAsia="Calibri" w:hAnsi="Calibri" w:cs="Calibri"/>
          <w:sz w:val="20"/>
          <w:szCs w:val="20"/>
        </w:rPr>
        <w:t xml:space="preserve">férent en </w:t>
      </w:r>
      <w:r w:rsidR="111E9E2F" w:rsidRPr="4A2FE55F">
        <w:rPr>
          <w:rFonts w:ascii="Calibri" w:eastAsia="Calibri" w:hAnsi="Calibri" w:cs="Calibri"/>
          <w:sz w:val="20"/>
          <w:szCs w:val="20"/>
        </w:rPr>
        <w:t>a</w:t>
      </w:r>
      <w:r w:rsidR="6A56DD11" w:rsidRPr="4A2FE55F">
        <w:rPr>
          <w:rFonts w:ascii="Calibri" w:eastAsia="Calibri" w:hAnsi="Calibri" w:cs="Calibri"/>
          <w:sz w:val="20"/>
          <w:szCs w:val="20"/>
        </w:rPr>
        <w:t>ntibiothérapie</w:t>
      </w:r>
      <w:r w:rsidR="35132C62" w:rsidRPr="4A2FE55F">
        <w:rPr>
          <w:rFonts w:ascii="Calibri" w:eastAsia="Calibri" w:hAnsi="Calibri" w:cs="Calibri"/>
          <w:sz w:val="20"/>
          <w:szCs w:val="20"/>
        </w:rPr>
        <w:t xml:space="preserve"> de l’établissement</w:t>
      </w:r>
    </w:p>
    <w:sectPr w:rsidR="5E0F2E7C">
      <w:headerReference w:type="default" r:id="rId13"/>
      <w:footerReference w:type="default" r:id="rId14"/>
      <w:pgSz w:w="11906" w:h="16838"/>
      <w:pgMar w:top="567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E2EF2B1" w16cex:dateUtc="2025-11-07T16:24:58.77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8F494D7" w16cid:durableId="4E2EF2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EC06D" w14:textId="77777777" w:rsidR="00D21FA1" w:rsidRDefault="00D21FA1">
      <w:pPr>
        <w:spacing w:after="0" w:line="240" w:lineRule="auto"/>
      </w:pPr>
      <w:r>
        <w:separator/>
      </w:r>
    </w:p>
  </w:endnote>
  <w:endnote w:type="continuationSeparator" w:id="0">
    <w:p w14:paraId="266DCDC0" w14:textId="77777777" w:rsidR="00D21FA1" w:rsidRDefault="00D2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2FE55F" w14:paraId="53B3772F" w14:textId="77777777" w:rsidTr="4A2FE55F">
      <w:trPr>
        <w:trHeight w:val="300"/>
      </w:trPr>
      <w:tc>
        <w:tcPr>
          <w:tcW w:w="3005" w:type="dxa"/>
        </w:tcPr>
        <w:p w14:paraId="0CAEB13C" w14:textId="28F45AF0" w:rsidR="4A2FE55F" w:rsidRDefault="4A2FE55F" w:rsidP="4A2FE55F">
          <w:pPr>
            <w:pStyle w:val="En-tte"/>
            <w:ind w:left="-115"/>
          </w:pPr>
        </w:p>
      </w:tc>
      <w:tc>
        <w:tcPr>
          <w:tcW w:w="3005" w:type="dxa"/>
        </w:tcPr>
        <w:p w14:paraId="142C4AEC" w14:textId="42D9523F" w:rsidR="4A2FE55F" w:rsidRDefault="4A2FE55F" w:rsidP="4A2FE55F">
          <w:pPr>
            <w:pStyle w:val="En-tte"/>
            <w:jc w:val="center"/>
          </w:pPr>
        </w:p>
      </w:tc>
      <w:tc>
        <w:tcPr>
          <w:tcW w:w="3005" w:type="dxa"/>
        </w:tcPr>
        <w:p w14:paraId="4532F36D" w14:textId="0B745CFF" w:rsidR="4A2FE55F" w:rsidRDefault="4A2FE55F" w:rsidP="4A2FE55F">
          <w:pPr>
            <w:pStyle w:val="En-tte"/>
            <w:ind w:right="-115"/>
            <w:jc w:val="right"/>
          </w:pPr>
        </w:p>
      </w:tc>
    </w:tr>
  </w:tbl>
  <w:p w14:paraId="32A75F5B" w14:textId="2988C51F" w:rsidR="4A2FE55F" w:rsidRDefault="4A2FE55F" w:rsidP="4A2FE5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7AB95" w14:textId="77777777" w:rsidR="00D21FA1" w:rsidRDefault="00D21FA1">
      <w:pPr>
        <w:spacing w:after="0" w:line="240" w:lineRule="auto"/>
      </w:pPr>
      <w:r>
        <w:separator/>
      </w:r>
    </w:p>
  </w:footnote>
  <w:footnote w:type="continuationSeparator" w:id="0">
    <w:p w14:paraId="6EBC66E9" w14:textId="77777777" w:rsidR="00D21FA1" w:rsidRDefault="00D21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9015"/>
    </w:tblGrid>
    <w:tr w:rsidR="4A2FE55F" w14:paraId="5331CFF5" w14:textId="77777777" w:rsidTr="4A2FE55F">
      <w:trPr>
        <w:trHeight w:val="300"/>
        <w:jc w:val="center"/>
      </w:trPr>
      <w:tc>
        <w:tcPr>
          <w:tcW w:w="9015" w:type="dxa"/>
        </w:tcPr>
        <w:p w14:paraId="48911FD8" w14:textId="460BB900" w:rsidR="4A2FE55F" w:rsidRDefault="4A2FE55F" w:rsidP="4A2FE55F">
          <w:pPr>
            <w:pStyle w:val="En-tte"/>
            <w:ind w:left="-115"/>
          </w:pPr>
        </w:p>
      </w:tc>
    </w:tr>
  </w:tbl>
  <w:p w14:paraId="7C9888AC" w14:textId="068C7898" w:rsidR="4A2FE55F" w:rsidRDefault="4A2FE55F" w:rsidP="4A2FE5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60957"/>
    <w:multiLevelType w:val="hybridMultilevel"/>
    <w:tmpl w:val="B4DE3A7C"/>
    <w:lvl w:ilvl="0" w:tplc="2B14023A">
      <w:start w:val="1"/>
      <w:numFmt w:val="bullet"/>
      <w:lvlText w:val="v"/>
      <w:lvlJc w:val="left"/>
      <w:pPr>
        <w:ind w:left="720" w:hanging="360"/>
      </w:pPr>
      <w:rPr>
        <w:rFonts w:ascii="Wingdings" w:hAnsi="Wingdings" w:hint="default"/>
      </w:rPr>
    </w:lvl>
    <w:lvl w:ilvl="1" w:tplc="B67C6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485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09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26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E47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0D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63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03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3D149"/>
    <w:multiLevelType w:val="hybridMultilevel"/>
    <w:tmpl w:val="CC0A5674"/>
    <w:lvl w:ilvl="0" w:tplc="2572CF82">
      <w:start w:val="1"/>
      <w:numFmt w:val="bullet"/>
      <w:lvlText w:val="v"/>
      <w:lvlJc w:val="left"/>
      <w:pPr>
        <w:ind w:left="720" w:hanging="360"/>
      </w:pPr>
      <w:rPr>
        <w:rFonts w:ascii="Wingdings" w:hAnsi="Wingdings" w:hint="default"/>
      </w:rPr>
    </w:lvl>
    <w:lvl w:ilvl="1" w:tplc="6E08A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EA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8A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CB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E1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A4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EE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DC6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5B2B5"/>
    <w:multiLevelType w:val="hybridMultilevel"/>
    <w:tmpl w:val="4C68C0D0"/>
    <w:lvl w:ilvl="0" w:tplc="88825F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D0F8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2470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05865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6ADB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A3EA1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92F2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6D4025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ED63E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CE5A38"/>
    <w:multiLevelType w:val="hybridMultilevel"/>
    <w:tmpl w:val="A21C7EE4"/>
    <w:lvl w:ilvl="0" w:tplc="7618099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9DA3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4E2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E3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4B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264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C8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25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A2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38B7E"/>
    <w:multiLevelType w:val="hybridMultilevel"/>
    <w:tmpl w:val="AC48D800"/>
    <w:lvl w:ilvl="0" w:tplc="1B6A078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4267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65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69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85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AB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2A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2B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07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67B85B"/>
    <w:rsid w:val="005F1574"/>
    <w:rsid w:val="00D21FA1"/>
    <w:rsid w:val="00D5731F"/>
    <w:rsid w:val="033AA7D8"/>
    <w:rsid w:val="05AB2E06"/>
    <w:rsid w:val="05D23A6A"/>
    <w:rsid w:val="0782DBC2"/>
    <w:rsid w:val="08462BF1"/>
    <w:rsid w:val="09571616"/>
    <w:rsid w:val="09777745"/>
    <w:rsid w:val="09CB0145"/>
    <w:rsid w:val="0CFDAB7E"/>
    <w:rsid w:val="0D168400"/>
    <w:rsid w:val="0D5D0DC6"/>
    <w:rsid w:val="0F4D2E73"/>
    <w:rsid w:val="104D7056"/>
    <w:rsid w:val="111E9E2F"/>
    <w:rsid w:val="11E31B8A"/>
    <w:rsid w:val="123E1E8C"/>
    <w:rsid w:val="129992B2"/>
    <w:rsid w:val="138ED6D0"/>
    <w:rsid w:val="14554AC9"/>
    <w:rsid w:val="1560CB93"/>
    <w:rsid w:val="1710942E"/>
    <w:rsid w:val="1804CECF"/>
    <w:rsid w:val="182FB9A2"/>
    <w:rsid w:val="185790B6"/>
    <w:rsid w:val="18721118"/>
    <w:rsid w:val="1915C943"/>
    <w:rsid w:val="1A1162BE"/>
    <w:rsid w:val="1B44C6B7"/>
    <w:rsid w:val="1BAFB509"/>
    <w:rsid w:val="1D804901"/>
    <w:rsid w:val="20DD2084"/>
    <w:rsid w:val="21E9A388"/>
    <w:rsid w:val="228B29AD"/>
    <w:rsid w:val="23071A28"/>
    <w:rsid w:val="232CD472"/>
    <w:rsid w:val="23421177"/>
    <w:rsid w:val="23628331"/>
    <w:rsid w:val="24A01E6E"/>
    <w:rsid w:val="2586DDAD"/>
    <w:rsid w:val="259774B5"/>
    <w:rsid w:val="25FD82C1"/>
    <w:rsid w:val="2619F93D"/>
    <w:rsid w:val="26D246F1"/>
    <w:rsid w:val="26E8BA16"/>
    <w:rsid w:val="26F08907"/>
    <w:rsid w:val="27279A36"/>
    <w:rsid w:val="274EDFEA"/>
    <w:rsid w:val="27C150C4"/>
    <w:rsid w:val="283BBA13"/>
    <w:rsid w:val="29D049B8"/>
    <w:rsid w:val="2B08D41D"/>
    <w:rsid w:val="2B80853B"/>
    <w:rsid w:val="2BA33F55"/>
    <w:rsid w:val="2C87BFD7"/>
    <w:rsid w:val="2E71A44E"/>
    <w:rsid w:val="2E8F68B8"/>
    <w:rsid w:val="2EED55BE"/>
    <w:rsid w:val="2F060DEF"/>
    <w:rsid w:val="2F6A240C"/>
    <w:rsid w:val="2FCD6567"/>
    <w:rsid w:val="31029AF7"/>
    <w:rsid w:val="316F6DD7"/>
    <w:rsid w:val="31D84270"/>
    <w:rsid w:val="32273DEE"/>
    <w:rsid w:val="329080C7"/>
    <w:rsid w:val="33A54B52"/>
    <w:rsid w:val="34784B8C"/>
    <w:rsid w:val="35132C62"/>
    <w:rsid w:val="355FF4D0"/>
    <w:rsid w:val="3563D191"/>
    <w:rsid w:val="36B04E41"/>
    <w:rsid w:val="386C62AA"/>
    <w:rsid w:val="3974624F"/>
    <w:rsid w:val="3985A5FF"/>
    <w:rsid w:val="39C5EB22"/>
    <w:rsid w:val="3C50BDB0"/>
    <w:rsid w:val="3C9FACDA"/>
    <w:rsid w:val="3CBD8F58"/>
    <w:rsid w:val="3F07697E"/>
    <w:rsid w:val="3F2DDEE7"/>
    <w:rsid w:val="404D1E74"/>
    <w:rsid w:val="4073EA3E"/>
    <w:rsid w:val="416B935B"/>
    <w:rsid w:val="428E43F1"/>
    <w:rsid w:val="4325F337"/>
    <w:rsid w:val="434B320D"/>
    <w:rsid w:val="439D43F4"/>
    <w:rsid w:val="43C8CB05"/>
    <w:rsid w:val="43CEB131"/>
    <w:rsid w:val="443B4B53"/>
    <w:rsid w:val="4725C4A6"/>
    <w:rsid w:val="4755368A"/>
    <w:rsid w:val="4763E09A"/>
    <w:rsid w:val="4783E749"/>
    <w:rsid w:val="47B169B7"/>
    <w:rsid w:val="491C4B47"/>
    <w:rsid w:val="4988A013"/>
    <w:rsid w:val="49B6A05F"/>
    <w:rsid w:val="4A2FE55F"/>
    <w:rsid w:val="4B093205"/>
    <w:rsid w:val="4B3B30A4"/>
    <w:rsid w:val="4B4C6639"/>
    <w:rsid w:val="4B93DE5C"/>
    <w:rsid w:val="4C90A1C0"/>
    <w:rsid w:val="4D6E5FB8"/>
    <w:rsid w:val="4E5D8BBC"/>
    <w:rsid w:val="4EB2F274"/>
    <w:rsid w:val="4F6A3B22"/>
    <w:rsid w:val="4F6F3FDC"/>
    <w:rsid w:val="4FAF325E"/>
    <w:rsid w:val="52B3B2E0"/>
    <w:rsid w:val="532D593C"/>
    <w:rsid w:val="543B50D5"/>
    <w:rsid w:val="545572A1"/>
    <w:rsid w:val="5518E63E"/>
    <w:rsid w:val="55D149CB"/>
    <w:rsid w:val="55F4FDD6"/>
    <w:rsid w:val="56684E81"/>
    <w:rsid w:val="57316A9F"/>
    <w:rsid w:val="5732D4E8"/>
    <w:rsid w:val="575BDB05"/>
    <w:rsid w:val="5766F3E1"/>
    <w:rsid w:val="597C4628"/>
    <w:rsid w:val="59E066CF"/>
    <w:rsid w:val="5A4556F4"/>
    <w:rsid w:val="5BA21935"/>
    <w:rsid w:val="5C43E78C"/>
    <w:rsid w:val="5D92A09D"/>
    <w:rsid w:val="5E0F2E7C"/>
    <w:rsid w:val="5F3E558A"/>
    <w:rsid w:val="6139328D"/>
    <w:rsid w:val="619D7854"/>
    <w:rsid w:val="6267983A"/>
    <w:rsid w:val="6299A3BA"/>
    <w:rsid w:val="62AD4C87"/>
    <w:rsid w:val="6306C6AC"/>
    <w:rsid w:val="63071272"/>
    <w:rsid w:val="6397ED8D"/>
    <w:rsid w:val="65DDEB6C"/>
    <w:rsid w:val="67B73B56"/>
    <w:rsid w:val="682698B9"/>
    <w:rsid w:val="69404730"/>
    <w:rsid w:val="6A56DD11"/>
    <w:rsid w:val="6EB3A21C"/>
    <w:rsid w:val="6ECA7E02"/>
    <w:rsid w:val="6F93A875"/>
    <w:rsid w:val="6FCB4220"/>
    <w:rsid w:val="70211955"/>
    <w:rsid w:val="715A8E00"/>
    <w:rsid w:val="729BDBBC"/>
    <w:rsid w:val="72B22390"/>
    <w:rsid w:val="736CAF07"/>
    <w:rsid w:val="73C5EC7D"/>
    <w:rsid w:val="74D46D1B"/>
    <w:rsid w:val="75D01DC1"/>
    <w:rsid w:val="7713F70C"/>
    <w:rsid w:val="77BF5FD8"/>
    <w:rsid w:val="78DB8A79"/>
    <w:rsid w:val="7AD3E22B"/>
    <w:rsid w:val="7C2984D9"/>
    <w:rsid w:val="7C57613B"/>
    <w:rsid w:val="7DD3BB9C"/>
    <w:rsid w:val="7F67B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B85B"/>
  <w15:chartTrackingRefBased/>
  <w15:docId w15:val="{FB28C154-1AEF-4548-BB6F-6253327F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43C8CB05"/>
    <w:rPr>
      <w:color w:val="467886"/>
      <w:u w:val="single"/>
    </w:rPr>
  </w:style>
  <w:style w:type="paragraph" w:styleId="Paragraphedeliste">
    <w:name w:val="List Paragraph"/>
    <w:basedOn w:val="Normal"/>
    <w:uiPriority w:val="34"/>
    <w:qFormat/>
    <w:rsid w:val="43C8CB05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4A2FE55F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4A2FE55F"/>
    <w:pPr>
      <w:tabs>
        <w:tab w:val="center" w:pos="4680"/>
        <w:tab w:val="right" w:pos="9360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574"/>
    <w:rPr>
      <w:rFonts w:ascii="Segoe UI" w:hAnsi="Segoe UI" w:cs="Segoe UI"/>
      <w:sz w:val="18"/>
      <w:szCs w:val="18"/>
    </w:rPr>
  </w:style>
</w:styles>
</file>

<file path=word/tasks.xml><?xml version="1.0" encoding="utf-8"?>
<t:Tasks xmlns:t="http://schemas.microsoft.com/office/tasks/2019/documenttasks" xmlns:oel="http://schemas.microsoft.com/office/2019/extlst">
  <t:Task id="{5F05C7FE-DE96-4112-9E70-D878D85446BA}">
    <t:Anchor>
      <t:Comment id="1311699633"/>
    </t:Anchor>
    <t:History>
      <t:Event id="{35733A40-BD36-4007-91FE-9489D0559619}" time="2025-11-07T16:24:58.791Z">
        <t:Attribution userId="S::u519233@chu-nancy.fr::0fc85720-b3d7-482e-bc6b-925a323a6e68" userProvider="AD" userName="COLAS Florence"/>
        <t:Anchor>
          <t:Comment id="1311699633"/>
        </t:Anchor>
        <t:Create/>
      </t:Event>
      <t:Event id="{782DBEC5-897A-4167-87FB-59DFA148B447}" time="2025-11-07T16:24:58.791Z">
        <t:Attribution userId="S::u519233@chu-nancy.fr::0fc85720-b3d7-482e-bc6b-925a323a6e68" userProvider="AD" userName="COLAS Florence"/>
        <t:Anchor>
          <t:Comment id="1311699633"/>
        </t:Anchor>
        <t:Assign userId="S::x000yni@chu-nancy.fr::33390d07-b9b6-4333-9554-dcb50250af8f" userProvider="AD" userName="NIVOIX Yasmine"/>
      </t:Event>
      <t:Event id="{B1F4CAC2-CE93-4C54-BEE3-68384455EF21}" time="2025-11-07T16:24:58.791Z">
        <t:Attribution userId="S::u519233@chu-nancy.fr::0fc85720-b3d7-482e-bc6b-925a323a6e68" userProvider="AD" userName="COLAS Florence"/>
        <t:Anchor>
          <t:Comment id="1311699633"/>
        </t:Anchor>
        <t:SetTitle title="OK pour moi. Merci @NIVOIX Yasmine et @KITTLER Emma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medit-idf.fr/wp-content/uploads/2.4-02.pdf" TargetMode="External"/><Relationship Id="R7fb68496b822479a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0ccc2d24940f4a0e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e7ab911c47f445e2" Type="http://schemas.microsoft.com/office/2019/05/relationships/documenttasks" Target="task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3A81829ABC1448AFC4BEE2F5078959" ma:contentTypeVersion="11" ma:contentTypeDescription="Crée un document." ma:contentTypeScope="" ma:versionID="576bd5960226440a8df0977249654122">
  <xsd:schema xmlns:xsd="http://www.w3.org/2001/XMLSchema" xmlns:xs="http://www.w3.org/2001/XMLSchema" xmlns:p="http://schemas.microsoft.com/office/2006/metadata/properties" xmlns:ns2="4bd15e16-a805-42a3-9524-c6e3686c44c9" xmlns:ns3="8b9f906b-7773-401c-bf8f-a0eccfedb462" targetNamespace="http://schemas.microsoft.com/office/2006/metadata/properties" ma:root="true" ma:fieldsID="e75e5087198f52a645c3213fd458b627" ns2:_="" ns3:_="">
    <xsd:import namespace="4bd15e16-a805-42a3-9524-c6e3686c44c9"/>
    <xsd:import namespace="8b9f906b-7773-401c-bf8f-a0eccfedb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15e16-a805-42a3-9524-c6e3686c4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7af5a12-e1b1-49e8-a675-d5fd20a9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f906b-7773-401c-bf8f-a0eccfedb4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589e40-3e03-49b0-b242-e0338ee06014}" ma:internalName="TaxCatchAll" ma:showField="CatchAllData" ma:web="8b9f906b-7773-401c-bf8f-a0eccfedb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9f906b-7773-401c-bf8f-a0eccfedb462" xsi:nil="true"/>
    <lcf76f155ced4ddcb4097134ff3c332f xmlns="4bd15e16-a805-42a3-9524-c6e3686c44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DE4994-8C70-4269-AF55-610147841B94}"/>
</file>

<file path=customXml/itemProps2.xml><?xml version="1.0" encoding="utf-8"?>
<ds:datastoreItem xmlns:ds="http://schemas.openxmlformats.org/officeDocument/2006/customXml" ds:itemID="{7187D5C2-D3B5-4756-8800-E6032E64ECCB}">
  <ds:schemaRefs>
    <ds:schemaRef ds:uri="http://schemas.microsoft.com/office/2006/metadata/properties"/>
    <ds:schemaRef ds:uri="http://schemas.microsoft.com/office/infopath/2007/PartnerControls"/>
    <ds:schemaRef ds:uri="8b9f906b-7773-401c-bf8f-a0eccfedb462"/>
    <ds:schemaRef ds:uri="4bd15e16-a805-42a3-9524-c6e3686c44c9"/>
  </ds:schemaRefs>
</ds:datastoreItem>
</file>

<file path=customXml/itemProps3.xml><?xml version="1.0" encoding="utf-8"?>
<ds:datastoreItem xmlns:ds="http://schemas.openxmlformats.org/officeDocument/2006/customXml" ds:itemID="{31CE496E-99BB-489C-8D8B-96DB7C5367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515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KITTLER Emma</dc:creator>
  <cp:keywords/>
  <dc:description/>
  <cp:lastModifiedBy>KITTLER Emma</cp:lastModifiedBy>
  <cp:revision>3</cp:revision>
  <dcterms:created xsi:type="dcterms:W3CDTF">2025-10-08T13:30:00Z</dcterms:created>
  <dcterms:modified xsi:type="dcterms:W3CDTF">2025-11-17T12:05:00Z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0x0101005E3A81829ABC1448AFC4BEE2F5078959</vt:lpwstr>
  </property>
  <property fmtid="{D5CDD505-2E9C-101B-9397-08002B2CF9AE}" pid="3" name="MediaServiceImageTags">
    <vt:lpwstr/>
  </property>
</Properties>
</file>